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jc w:val="center"/>
        <w:rPr>
          <w:rFonts w:ascii="Arial" w:cs="Arial" w:eastAsia="Arial" w:hAnsi="Arial"/>
          <w:b w:val="1"/>
          <w:color w:val="096b01"/>
          <w:sz w:val="24"/>
          <w:szCs w:val="24"/>
        </w:rPr>
      </w:pPr>
      <w:r w:rsidDel="00000000" w:rsidR="00000000" w:rsidRPr="00000000">
        <w:rPr>
          <w:rFonts w:ascii="Arial" w:cs="Arial" w:eastAsia="Arial" w:hAnsi="Arial"/>
          <w:b w:val="1"/>
          <w:sz w:val="24"/>
          <w:szCs w:val="24"/>
          <w:rtl w:val="0"/>
        </w:rPr>
        <w:t xml:space="preserve">Convocatoria para </w:t>
      </w:r>
      <w:r w:rsidDel="00000000" w:rsidR="00000000" w:rsidRPr="00000000">
        <w:rPr>
          <w:rFonts w:ascii="Arial" w:cs="Arial" w:eastAsia="Arial" w:hAnsi="Arial"/>
          <w:b w:val="1"/>
          <w:color w:val="6dc100"/>
          <w:sz w:val="24"/>
          <w:szCs w:val="24"/>
          <w:rtl w:val="0"/>
        </w:rPr>
        <w:t xml:space="preserve">grupos de investigación</w:t>
      </w:r>
      <w:r w:rsidDel="00000000" w:rsidR="00000000" w:rsidRPr="00000000">
        <w:rPr>
          <w:rFonts w:ascii="Arial" w:cs="Arial" w:eastAsia="Arial" w:hAnsi="Arial"/>
          <w:b w:val="1"/>
          <w:sz w:val="24"/>
          <w:szCs w:val="24"/>
          <w:rtl w:val="0"/>
        </w:rPr>
        <w:t xml:space="preserve"> interesados en el estudio de la enseñanza y el aprendizaje mediados por las TIC (2023-1)</w:t>
      </w:r>
      <w:r w:rsidDel="00000000" w:rsidR="00000000" w:rsidRPr="00000000">
        <w:rPr>
          <w:rtl w:val="0"/>
        </w:rPr>
      </w:r>
    </w:p>
    <w:p w:rsidR="00000000" w:rsidDel="00000000" w:rsidP="00000000" w:rsidRDefault="00000000" w:rsidRPr="00000000" w14:paraId="00000002">
      <w:pPr>
        <w:tabs>
          <w:tab w:val="left" w:pos="360"/>
        </w:tabs>
        <w:spacing w:line="276" w:lineRule="auto"/>
        <w:jc w:val="center"/>
        <w:rPr>
          <w:rFonts w:ascii="Arial" w:cs="Arial" w:eastAsia="Arial" w:hAnsi="Arial"/>
          <w:b w:val="1"/>
          <w:color w:val="096b0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6dc100"/>
          <w:sz w:val="24"/>
          <w:szCs w:val="24"/>
          <w:rtl w:val="0"/>
        </w:rPr>
        <w:t xml:space="preserve">Anexo 4: </w:t>
      </w:r>
      <w:r w:rsidDel="00000000" w:rsidR="00000000" w:rsidRPr="00000000">
        <w:rPr>
          <w:rFonts w:ascii="Arial" w:cs="Arial" w:eastAsia="Arial" w:hAnsi="Arial"/>
          <w:b w:val="1"/>
          <w:color w:val="000000"/>
          <w:sz w:val="24"/>
          <w:szCs w:val="24"/>
          <w:rtl w:val="0"/>
        </w:rPr>
        <w:t xml:space="preserve">Criterios mínimos para la aceptación de productos derivados de la investigación</w:t>
      </w:r>
    </w:p>
    <w:p w:rsidR="00000000" w:rsidDel="00000000" w:rsidP="00000000" w:rsidRDefault="00000000" w:rsidRPr="00000000" w14:paraId="00000004">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Ude@ Educación Virtual y la Vicerrectoría de Docencia, con el acompañamiento de la Vicerrectoría de Investigación, adoptan el presente documento para definir los criterios mínimos para la aceptación de los productos derivados del proceso de investigación o sistematización de la convocatoria realizada en el marco del programa de investigación</w:t>
      </w:r>
      <w:r w:rsidDel="00000000" w:rsidR="00000000" w:rsidRPr="00000000">
        <w:rPr>
          <w:rFonts w:ascii="Arial" w:cs="Arial" w:eastAsia="Arial" w:hAnsi="Arial"/>
          <w:i w:val="1"/>
          <w:sz w:val="24"/>
          <w:szCs w:val="24"/>
          <w:rtl w:val="0"/>
        </w:rPr>
        <w:t xml:space="preserve"> ConTIC Investigo</w:t>
      </w:r>
      <w:r w:rsidDel="00000000" w:rsidR="00000000" w:rsidRPr="00000000">
        <w:rPr>
          <w:rFonts w:ascii="Arial" w:cs="Arial" w:eastAsia="Arial" w:hAnsi="Arial"/>
          <w:sz w:val="24"/>
          <w:szCs w:val="24"/>
          <w:rtl w:val="0"/>
        </w:rPr>
        <w:t xml:space="preserve">. Se busca una concepción amplia de los productos, manteniendo los altos criterios de calidad que caracterizan al Sistema Universitario de Investigación (SUI).</w:t>
      </w:r>
    </w:p>
    <w:p w:rsidR="00000000" w:rsidDel="00000000" w:rsidP="00000000" w:rsidRDefault="00000000" w:rsidRPr="00000000" w14:paraId="0000000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En las siguientes tablas se especifican los productos para el cumplimiento de los compromisos asumidos para esta convocatoria. Tales productos se dividen en 4 dimensiones: 1) Generación de nuevo conocimiento; 2) Apropiación social y cultural del conocimiento; y 3) Formación de recursos humanos. </w:t>
      </w:r>
    </w:p>
    <w:p w:rsidR="00000000" w:rsidDel="00000000" w:rsidP="00000000" w:rsidRDefault="00000000" w:rsidRPr="00000000" w14:paraId="0000000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b w:val="1"/>
          <w:color w:val="6dc100"/>
          <w:sz w:val="24"/>
          <w:szCs w:val="24"/>
        </w:rPr>
      </w:pPr>
      <w:r w:rsidDel="00000000" w:rsidR="00000000" w:rsidRPr="00000000">
        <w:rPr>
          <w:rFonts w:ascii="Arial" w:cs="Arial" w:eastAsia="Arial" w:hAnsi="Arial"/>
          <w:b w:val="1"/>
          <w:color w:val="6dc100"/>
          <w:sz w:val="24"/>
          <w:szCs w:val="24"/>
          <w:rtl w:val="0"/>
        </w:rPr>
        <w:t xml:space="preserve">Productos obligatorios</w:t>
      </w:r>
    </w:p>
    <w:p w:rsidR="00000000" w:rsidDel="00000000" w:rsidP="00000000" w:rsidRDefault="00000000" w:rsidRPr="00000000" w14:paraId="0000000C">
      <w:pPr>
        <w:spacing w:line="276" w:lineRule="auto"/>
        <w:jc w:val="both"/>
        <w:rPr>
          <w:rFonts w:ascii="Arial" w:cs="Arial" w:eastAsia="Arial" w:hAnsi="Arial"/>
          <w:b w:val="1"/>
          <w:color w:val="096b01"/>
          <w:sz w:val="24"/>
          <w:szCs w:val="24"/>
        </w:rPr>
      </w:pPr>
      <w:r w:rsidDel="00000000" w:rsidR="00000000" w:rsidRPr="00000000">
        <w:rPr>
          <w:rFonts w:ascii="Arial" w:cs="Arial" w:eastAsia="Arial" w:hAnsi="Arial"/>
          <w:b w:val="1"/>
          <w:color w:val="000000"/>
          <w:sz w:val="24"/>
          <w:szCs w:val="24"/>
          <w:rtl w:val="0"/>
        </w:rPr>
        <w:t xml:space="preserve">Generación de nuevo conocimiento</w:t>
      </w:r>
      <w:r w:rsidDel="00000000" w:rsidR="00000000" w:rsidRPr="00000000">
        <w:rPr>
          <w:rtl w:val="0"/>
        </w:rPr>
      </w:r>
    </w:p>
    <w:p w:rsidR="00000000" w:rsidDel="00000000" w:rsidP="00000000" w:rsidRDefault="00000000" w:rsidRPr="00000000" w14:paraId="0000000D">
      <w:pPr>
        <w:spacing w:line="276" w:lineRule="auto"/>
        <w:jc w:val="center"/>
        <w:rPr>
          <w:rFonts w:ascii="Arial" w:cs="Arial" w:eastAsia="Arial" w:hAnsi="Arial"/>
          <w:color w:val="096b01"/>
          <w:sz w:val="24"/>
          <w:szCs w:val="24"/>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6dc100"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Producto obligatorio</w:t>
            </w:r>
          </w:p>
        </w:tc>
        <w:tc>
          <w:tcPr>
            <w:shd w:fill="6dc100"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Condiciones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o ponencia del proceso de investigación o sistematización (obligatorio).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debe elegir, al menos, uno de los dos productos (artículo o ponencia):</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artículo se aceptará a partir de la notificación de recibido por parte de alguna revista de acceso abierto, nacional o internacional que, mínimamente, cuente con comité editorial.</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La ponencia debe realizarse en eventos académicos, mínimamente, nacionales. Las temáticas deben vincularse con la enseñanza y el aprendizaje mediados por las TIC.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Informe final (obligatorio).</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informe de cierre relacionará tanto los productos y hallazgos, como la valoración de todo el proceso desarrollado por parte del grupo de investigación.</w:t>
            </w:r>
          </w:p>
        </w:tc>
      </w:tr>
    </w:tbl>
    <w:p w:rsidR="00000000" w:rsidDel="00000000" w:rsidP="00000000" w:rsidRDefault="00000000" w:rsidRPr="00000000" w14:paraId="0000001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color w:val="6dc100"/>
          <w:sz w:val="24"/>
          <w:szCs w:val="24"/>
        </w:rPr>
      </w:pPr>
      <w:r w:rsidDel="00000000" w:rsidR="00000000" w:rsidRPr="00000000">
        <w:rPr>
          <w:rFonts w:ascii="Arial" w:cs="Arial" w:eastAsia="Arial" w:hAnsi="Arial"/>
          <w:b w:val="1"/>
          <w:color w:val="6dc100"/>
          <w:sz w:val="24"/>
          <w:szCs w:val="24"/>
          <w:rtl w:val="0"/>
        </w:rPr>
        <w:t xml:space="preserve">Productos opcionales</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Producción técnica y tecnológica</w:t>
      </w:r>
    </w:p>
    <w:p w:rsidR="00000000" w:rsidDel="00000000" w:rsidP="00000000" w:rsidRDefault="00000000" w:rsidRPr="00000000" w14:paraId="00000019">
      <w:pPr>
        <w:spacing w:line="276" w:lineRule="auto"/>
        <w:rPr>
          <w:rFonts w:ascii="Arial" w:cs="Arial" w:eastAsia="Arial" w:hAnsi="Arial"/>
          <w:sz w:val="24"/>
          <w:szCs w:val="24"/>
        </w:rPr>
      </w:pPr>
      <w:r w:rsidDel="00000000" w:rsidR="00000000" w:rsidRPr="00000000">
        <w:rPr>
          <w:rtl w:val="0"/>
        </w:rPr>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6dc100" w:val="clear"/>
            <w:tcMar>
              <w:top w:w="100.0" w:type="dxa"/>
              <w:left w:w="100.0" w:type="dxa"/>
              <w:bottom w:w="100.0" w:type="dxa"/>
              <w:right w:w="100.0" w:type="dxa"/>
            </w:tcMar>
          </w:tcPr>
          <w:p w:rsidR="00000000" w:rsidDel="00000000" w:rsidP="00000000" w:rsidRDefault="00000000" w:rsidRPr="00000000" w14:paraId="0000001A">
            <w:pPr>
              <w:widowControl w:val="0"/>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Producto opcional</w:t>
            </w:r>
          </w:p>
        </w:tc>
        <w:tc>
          <w:tcPr>
            <w:shd w:fill="6dc100" w:val="clear"/>
            <w:tcMar>
              <w:top w:w="100.0" w:type="dxa"/>
              <w:left w:w="100.0" w:type="dxa"/>
              <w:bottom w:w="100.0" w:type="dxa"/>
              <w:right w:w="100.0" w:type="dxa"/>
            </w:tcMar>
          </w:tcPr>
          <w:p w:rsidR="00000000" w:rsidDel="00000000" w:rsidP="00000000" w:rsidRDefault="00000000" w:rsidRPr="00000000" w14:paraId="0000001B">
            <w:pPr>
              <w:widowControl w:val="0"/>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Condiciones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spacing w:line="276"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Productos vinculados con la tecnología.</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Recursos digitales para la enseñanza y el aprendizaje que propicien un avance didáctico en la perspectiva de la educación mediada por TIC.</w:t>
            </w:r>
          </w:p>
        </w:tc>
      </w:tr>
    </w:tbl>
    <w:p w:rsidR="00000000" w:rsidDel="00000000" w:rsidP="00000000" w:rsidRDefault="00000000" w:rsidRPr="00000000" w14:paraId="0000001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color w:val="6dc100"/>
          <w:sz w:val="24"/>
          <w:szCs w:val="24"/>
        </w:rPr>
      </w:pPr>
      <w:r w:rsidDel="00000000" w:rsidR="00000000" w:rsidRPr="00000000">
        <w:rPr>
          <w:rFonts w:ascii="Arial" w:cs="Arial" w:eastAsia="Arial" w:hAnsi="Arial"/>
          <w:b w:val="1"/>
          <w:color w:val="6dc100"/>
          <w:sz w:val="24"/>
          <w:szCs w:val="24"/>
          <w:rtl w:val="0"/>
        </w:rPr>
        <w:t xml:space="preserve">Apropiación social y cultural del conocimiento</w:t>
      </w:r>
    </w:p>
    <w:p w:rsidR="00000000" w:rsidDel="00000000" w:rsidP="00000000" w:rsidRDefault="00000000" w:rsidRPr="00000000" w14:paraId="00000020">
      <w:pPr>
        <w:spacing w:line="276" w:lineRule="auto"/>
        <w:rPr>
          <w:rFonts w:ascii="Arial" w:cs="Arial" w:eastAsia="Arial" w:hAnsi="Arial"/>
          <w:sz w:val="24"/>
          <w:szCs w:val="24"/>
        </w:rPr>
      </w:pPr>
      <w:r w:rsidDel="00000000" w:rsidR="00000000" w:rsidRPr="00000000">
        <w:rPr>
          <w:rtl w:val="0"/>
        </w:rPr>
      </w:r>
    </w:p>
    <w:tbl>
      <w:tblPr>
        <w:tblStyle w:val="Table3"/>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6dc100" w:val="clear"/>
            <w:tcMar>
              <w:top w:w="100.0" w:type="dxa"/>
              <w:left w:w="100.0" w:type="dxa"/>
              <w:bottom w:w="100.0" w:type="dxa"/>
              <w:right w:w="100.0" w:type="dxa"/>
            </w:tcMar>
          </w:tcPr>
          <w:p w:rsidR="00000000" w:rsidDel="00000000" w:rsidP="00000000" w:rsidRDefault="00000000" w:rsidRPr="00000000" w14:paraId="00000021">
            <w:pPr>
              <w:widowControl w:val="0"/>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Producto</w:t>
            </w:r>
          </w:p>
        </w:tc>
        <w:tc>
          <w:tcPr>
            <w:shd w:fill="6dc100" w:val="clear"/>
            <w:tcMar>
              <w:top w:w="100.0" w:type="dxa"/>
              <w:left w:w="100.0" w:type="dxa"/>
              <w:bottom w:w="100.0" w:type="dxa"/>
              <w:right w:w="100.0" w:type="dxa"/>
            </w:tcMar>
          </w:tcPr>
          <w:p w:rsidR="00000000" w:rsidDel="00000000" w:rsidP="00000000" w:rsidRDefault="00000000" w:rsidRPr="00000000" w14:paraId="00000022">
            <w:pPr>
              <w:widowControl w:val="0"/>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Condiciones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Nota de divulgación social de conocimiento (obligatorio).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Publicación de nota, artículo o noticia que sirva para divulgar los conocimientos generados a partir de la investigación en la comunidad universitaria y la sociedad.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Otras estrategias o materiales de divulgación social de conocimiento (opcional).</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76" w:lineRule="auto"/>
              <w:jc w:val="both"/>
              <w:rPr>
                <w:rFonts w:ascii="Arial" w:cs="Arial" w:eastAsia="Arial" w:hAnsi="Arial"/>
                <w:sz w:val="24"/>
                <w:szCs w:val="24"/>
              </w:rPr>
            </w:pPr>
            <w:bookmarkStart w:colFirst="0" w:colLast="0" w:name="_heading=h.3znysh7" w:id="2"/>
            <w:bookmarkEnd w:id="2"/>
            <w:r w:rsidDel="00000000" w:rsidR="00000000" w:rsidRPr="00000000">
              <w:rPr>
                <w:rFonts w:ascii="Arial" w:cs="Arial" w:eastAsia="Arial" w:hAnsi="Arial"/>
                <w:sz w:val="24"/>
                <w:szCs w:val="24"/>
                <w:rtl w:val="0"/>
              </w:rPr>
              <w:t xml:space="preserve">Creación de recursos en formatos de preferencia que contribuyan a la divulgación de los resultados de investigación.</w:t>
            </w:r>
          </w:p>
        </w:tc>
      </w:tr>
    </w:tbl>
    <w:p w:rsidR="00000000" w:rsidDel="00000000" w:rsidP="00000000" w:rsidRDefault="00000000" w:rsidRPr="00000000" w14:paraId="00000027">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color w:val="6dc100"/>
          <w:sz w:val="24"/>
          <w:szCs w:val="24"/>
        </w:rPr>
      </w:pPr>
      <w:r w:rsidDel="00000000" w:rsidR="00000000" w:rsidRPr="00000000">
        <w:rPr>
          <w:rFonts w:ascii="Arial" w:cs="Arial" w:eastAsia="Arial" w:hAnsi="Arial"/>
          <w:b w:val="1"/>
          <w:color w:val="6dc100"/>
          <w:sz w:val="24"/>
          <w:szCs w:val="24"/>
          <w:rtl w:val="0"/>
        </w:rPr>
        <w:t xml:space="preserve">Formación de recursos humanos</w:t>
      </w:r>
    </w:p>
    <w:p w:rsidR="00000000" w:rsidDel="00000000" w:rsidP="00000000" w:rsidRDefault="00000000" w:rsidRPr="00000000" w14:paraId="00000029">
      <w:pPr>
        <w:spacing w:line="276" w:lineRule="auto"/>
        <w:rPr>
          <w:rFonts w:ascii="Arial" w:cs="Arial" w:eastAsia="Arial" w:hAnsi="Arial"/>
          <w:sz w:val="24"/>
          <w:szCs w:val="24"/>
        </w:rPr>
      </w:pPr>
      <w:r w:rsidDel="00000000" w:rsidR="00000000" w:rsidRPr="00000000">
        <w:rPr>
          <w:rtl w:val="0"/>
        </w:rPr>
      </w:r>
    </w:p>
    <w:tbl>
      <w:tblPr>
        <w:tblStyle w:val="Table4"/>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6dc100" w:val="clear"/>
            <w:tcMar>
              <w:top w:w="100.0" w:type="dxa"/>
              <w:left w:w="100.0" w:type="dxa"/>
              <w:bottom w:w="100.0" w:type="dxa"/>
              <w:right w:w="100.0" w:type="dxa"/>
            </w:tcMar>
          </w:tcPr>
          <w:p w:rsidR="00000000" w:rsidDel="00000000" w:rsidP="00000000" w:rsidRDefault="00000000" w:rsidRPr="00000000" w14:paraId="0000002A">
            <w:pPr>
              <w:widowControl w:val="0"/>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Producto opcional</w:t>
            </w:r>
          </w:p>
        </w:tc>
        <w:tc>
          <w:tcPr>
            <w:shd w:fill="6dc100"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Condiciones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Formación de estudiantes de pregrado, maestría o doctorado.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Participación del estudiante en el proyecto de investigación, de acuerdo con las condiciones especificadas en la convocatoria.</w:t>
            </w:r>
          </w:p>
        </w:tc>
      </w:tr>
    </w:tbl>
    <w:p w:rsidR="00000000" w:rsidDel="00000000" w:rsidP="00000000" w:rsidRDefault="00000000" w:rsidRPr="00000000" w14:paraId="0000002E">
      <w:pPr>
        <w:spacing w:line="276"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4"/>
          <w:szCs w:val="24"/>
        </w:rPr>
      </w:pP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rFonts w:ascii="Arial" w:cs="Arial" w:eastAsia="Arial" w:hAnsi="Arial"/>
        <w:b w:val="1"/>
        <w:color w:val="0d5056"/>
      </w:rPr>
    </w:pPr>
    <w:r w:rsidDel="00000000" w:rsidR="00000000" w:rsidRPr="00000000">
      <w:rPr>
        <w:rFonts w:ascii="Arial" w:cs="Arial" w:eastAsia="Arial" w:hAnsi="Arial"/>
        <w:b w:val="1"/>
        <w:color w:val="0d5056"/>
        <w:highlight w:val="white"/>
        <w:rtl w:val="0"/>
      </w:rPr>
      <w:t xml:space="preserve">Convocatoria ConTIC Investigo | Vicerrectoría de Docencia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-1118271</wp:posOffset>
          </wp:positionH>
          <wp:positionV relativeFrom="paragraph">
            <wp:posOffset>-441324</wp:posOffset>
          </wp:positionV>
          <wp:extent cx="7590790" cy="7581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90790" cy="758190"/>
                  </a:xfrm>
                  <a:prstGeom prst="rect"/>
                  <a:ln/>
                </pic:spPr>
              </pic:pic>
            </a:graphicData>
          </a:graphic>
        </wp:anchor>
      </w:drawing>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252"/>
        <w:tab w:val="right" w:pos="8504"/>
      </w:tabs>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Rule="auto"/>
    </w:pPr>
    <w:rPr>
      <w:rFonts w:ascii="Arial" w:cs="Arial" w:eastAsia="Arial" w:hAnsi="Arial"/>
      <w:b w:val="1"/>
      <w:sz w:val="32"/>
      <w:szCs w:val="32"/>
    </w:rPr>
  </w:style>
  <w:style w:type="paragraph" w:styleId="Heading2">
    <w:name w:val="heading 2"/>
    <w:basedOn w:val="Normal"/>
    <w:next w:val="Normal"/>
    <w:pPr>
      <w:spacing w:after="60" w:before="240" w:lineRule="auto"/>
    </w:pPr>
    <w:rPr>
      <w:rFonts w:ascii="Arial" w:cs="Arial" w:eastAsia="Arial" w:hAnsi="Arial"/>
      <w:b w:val="1"/>
      <w:i w:val="1"/>
      <w:sz w:val="28"/>
      <w:szCs w:val="28"/>
    </w:rPr>
  </w:style>
  <w:style w:type="paragraph" w:styleId="Heading3">
    <w:name w:val="heading 3"/>
    <w:basedOn w:val="Normal"/>
    <w:next w:val="Normal"/>
    <w:pPr>
      <w:spacing w:after="60" w:before="240" w:lineRule="auto"/>
    </w:pPr>
    <w:rPr>
      <w:rFonts w:ascii="Arial" w:cs="Arial" w:eastAsia="Arial" w:hAnsi="Arial"/>
      <w:b w:val="1"/>
      <w:sz w:val="26"/>
      <w:szCs w:val="26"/>
    </w:rPr>
  </w:style>
  <w:style w:type="paragraph" w:styleId="Heading4">
    <w:name w:val="heading 4"/>
    <w:basedOn w:val="Normal"/>
    <w:next w:val="Normal"/>
    <w:pPr>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style>
  <w:style w:type="paragraph" w:styleId="Ttulo1">
    <w:name w:val="heading 1"/>
    <w:basedOn w:val="Normal"/>
    <w:next w:val="Normal"/>
    <w:uiPriority w:val="9"/>
    <w:qFormat w:val="1"/>
    <w:pPr>
      <w:spacing w:after="60" w:before="240"/>
      <w:outlineLvl w:val="0"/>
    </w:pPr>
    <w:rPr>
      <w:rFonts w:ascii="Arial" w:cs="Arial" w:eastAsia="Arial" w:hAnsi="Arial"/>
      <w:b w:val="1"/>
      <w:sz w:val="32"/>
      <w:szCs w:val="32"/>
    </w:rPr>
  </w:style>
  <w:style w:type="paragraph" w:styleId="Ttulo2">
    <w:name w:val="heading 2"/>
    <w:basedOn w:val="Normal"/>
    <w:next w:val="Normal"/>
    <w:uiPriority w:val="9"/>
    <w:semiHidden w:val="1"/>
    <w:unhideWhenUsed w:val="1"/>
    <w:qFormat w:val="1"/>
    <w:pPr>
      <w:spacing w:after="60" w:before="240"/>
      <w:outlineLvl w:val="1"/>
    </w:pPr>
    <w:rPr>
      <w:rFonts w:ascii="Arial" w:cs="Arial" w:eastAsia="Arial" w:hAnsi="Arial"/>
      <w:b w:val="1"/>
      <w:i w:val="1"/>
      <w:sz w:val="28"/>
      <w:szCs w:val="28"/>
    </w:rPr>
  </w:style>
  <w:style w:type="paragraph" w:styleId="Ttulo3">
    <w:name w:val="heading 3"/>
    <w:basedOn w:val="Normal"/>
    <w:next w:val="Normal"/>
    <w:uiPriority w:val="9"/>
    <w:semiHidden w:val="1"/>
    <w:unhideWhenUsed w:val="1"/>
    <w:qFormat w:val="1"/>
    <w:pPr>
      <w:spacing w:after="60" w:before="240"/>
      <w:outlineLvl w:val="2"/>
    </w:pPr>
    <w:rPr>
      <w:rFonts w:ascii="Arial" w:cs="Arial" w:eastAsia="Arial" w:hAnsi="Arial"/>
      <w:b w:val="1"/>
      <w:sz w:val="26"/>
      <w:szCs w:val="26"/>
    </w:rPr>
  </w:style>
  <w:style w:type="paragraph" w:styleId="Ttulo4">
    <w:name w:val="heading 4"/>
    <w:basedOn w:val="Normal"/>
    <w:next w:val="Normal"/>
    <w:uiPriority w:val="9"/>
    <w:semiHidden w:val="1"/>
    <w:unhideWhenUsed w:val="1"/>
    <w:qFormat w:val="1"/>
    <w:pPr>
      <w:spacing w:after="60" w:before="240"/>
      <w:outlineLvl w:val="3"/>
    </w:pPr>
    <w:rPr>
      <w:b w:val="1"/>
      <w:sz w:val="28"/>
      <w:szCs w:val="28"/>
    </w:rPr>
  </w:style>
  <w:style w:type="paragraph" w:styleId="Ttulo5">
    <w:name w:val="heading 5"/>
    <w:basedOn w:val="Normal"/>
    <w:next w:val="Normal"/>
    <w:uiPriority w:val="9"/>
    <w:semiHidden w:val="1"/>
    <w:unhideWhenUsed w:val="1"/>
    <w:qFormat w:val="1"/>
    <w:pPr>
      <w:spacing w:after="60" w:before="240"/>
      <w:outlineLvl w:val="4"/>
    </w:pPr>
    <w:rPr>
      <w:b w:val="1"/>
      <w:i w:val="1"/>
      <w:sz w:val="26"/>
      <w:szCs w:val="26"/>
    </w:rPr>
  </w:style>
  <w:style w:type="paragraph" w:styleId="Ttulo6">
    <w:name w:val="heading 6"/>
    <w:basedOn w:val="Normal"/>
    <w:next w:val="Normal"/>
    <w:uiPriority w:val="9"/>
    <w:semiHidden w:val="1"/>
    <w:unhideWhenUsed w:val="1"/>
    <w:qFormat w:val="1"/>
    <w:pPr>
      <w:spacing w:after="60" w:before="240"/>
      <w:outlineLvl w:val="5"/>
    </w:pPr>
    <w:rPr>
      <w:b w:val="1"/>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spacing w:after="60" w:before="240"/>
      <w:jc w:val="center"/>
    </w:pPr>
    <w:rPr>
      <w:rFonts w:ascii="Arial" w:cs="Arial" w:eastAsia="Arial" w:hAnsi="Arial"/>
      <w:b w:val="1"/>
      <w:sz w:val="32"/>
      <w:szCs w:val="32"/>
    </w:rPr>
  </w:style>
  <w:style w:type="paragraph" w:styleId="Subttulo">
    <w:name w:val="Subtitle"/>
    <w:basedOn w:val="Normal"/>
    <w:next w:val="Normal"/>
    <w:uiPriority w:val="11"/>
    <w:qFormat w:val="1"/>
    <w:pPr>
      <w:spacing w:after="60"/>
      <w:jc w:val="center"/>
    </w:pPr>
    <w:rPr>
      <w:rFonts w:ascii="Arial" w:cs="Arial" w:eastAsia="Arial" w:hAnsi="Arial"/>
    </w:rPr>
  </w:style>
  <w:style w:type="table" w:styleId="a" w:customStyle="1">
    <w:basedOn w:val="Tablanormal"/>
    <w:tblPr>
      <w:tblStyleRowBandSize w:val="1"/>
      <w:tblStyleColBandSize w:val="1"/>
      <w:tblCellMar>
        <w:left w:w="115.0" w:type="dxa"/>
        <w:right w:w="115.0" w:type="dxa"/>
      </w:tblCellMar>
    </w:tblPr>
  </w:style>
  <w:style w:type="table" w:styleId="a0" w:customStyle="1">
    <w:basedOn w:val="Tablanormal"/>
    <w:tblPr>
      <w:tblStyleRowBandSize w:val="1"/>
      <w:tblStyleColBandSize w:val="1"/>
      <w:tblCellMar>
        <w:left w:w="115.0" w:type="dxa"/>
        <w:right w:w="115.0" w:type="dxa"/>
      </w:tblCellMar>
    </w:tblPr>
  </w:style>
  <w:style w:type="table" w:styleId="a1" w:customStyle="1">
    <w:basedOn w:val="Tablanormal"/>
    <w:tblPr>
      <w:tblStyleRowBandSize w:val="1"/>
      <w:tblStyleColBandSize w:val="1"/>
      <w:tblCellMar>
        <w:left w:w="115.0" w:type="dxa"/>
        <w:right w:w="115.0" w:type="dxa"/>
      </w:tblCellMar>
    </w:tblPr>
  </w:style>
  <w:style w:type="table" w:styleId="a2" w:customStyle="1">
    <w:basedOn w:val="Tablanormal"/>
    <w:tblPr>
      <w:tblStyleRowBandSize w:val="1"/>
      <w:tblStyleColBandSize w:val="1"/>
      <w:tblCellMar>
        <w:left w:w="115.0" w:type="dxa"/>
        <w:right w:w="115.0" w:type="dxa"/>
      </w:tblCellMar>
    </w:tblPr>
  </w:style>
  <w:style w:type="table" w:styleId="a3" w:customStyle="1">
    <w:basedOn w:val="Tablanormal"/>
    <w:tblPr>
      <w:tblStyleRowBandSize w:val="1"/>
      <w:tblStyleColBandSize w:val="1"/>
      <w:tblCellMar>
        <w:left w:w="115.0" w:type="dxa"/>
        <w:right w:w="115.0" w:type="dxa"/>
      </w:tblCellMar>
    </w:tblPr>
  </w:style>
  <w:style w:type="table" w:styleId="a4" w:customStyle="1">
    <w:basedOn w:val="Tablanormal"/>
    <w:tblPr>
      <w:tblStyleRowBandSize w:val="1"/>
      <w:tblStyleColBandSize w:val="1"/>
      <w:tblCellMar>
        <w:left w:w="115.0" w:type="dxa"/>
        <w:right w:w="115.0" w:type="dxa"/>
      </w:tblCellMar>
    </w:tblPr>
  </w:style>
  <w:style w:type="table" w:styleId="a5" w:customStyle="1">
    <w:basedOn w:val="Tablanormal"/>
    <w:tblPr>
      <w:tblStyleRowBandSize w:val="1"/>
      <w:tblStyleColBandSize w:val="1"/>
      <w:tblCellMar>
        <w:left w:w="115.0" w:type="dxa"/>
        <w:right w:w="115.0" w:type="dxa"/>
      </w:tblCellMar>
    </w:tblPr>
  </w:style>
  <w:style w:type="table" w:styleId="a6" w:customStyle="1">
    <w:basedOn w:val="Tablanormal"/>
    <w:tblPr>
      <w:tblStyleRowBandSize w:val="1"/>
      <w:tblStyleColBandSize w:val="1"/>
      <w:tblCellMar>
        <w:left w:w="115.0" w:type="dxa"/>
        <w:right w:w="115.0" w:type="dxa"/>
      </w:tblCellMar>
    </w:tblPr>
  </w:style>
  <w:style w:type="paragraph" w:styleId="Encabezado">
    <w:name w:val="header"/>
    <w:basedOn w:val="Normal"/>
    <w:link w:val="EncabezadoCar"/>
    <w:uiPriority w:val="99"/>
    <w:unhideWhenUsed w:val="1"/>
    <w:rsid w:val="00427F45"/>
    <w:pPr>
      <w:tabs>
        <w:tab w:val="center" w:pos="4252"/>
        <w:tab w:val="right" w:pos="8504"/>
      </w:tabs>
    </w:pPr>
  </w:style>
  <w:style w:type="character" w:styleId="EncabezadoCar" w:customStyle="1">
    <w:name w:val="Encabezado Car"/>
    <w:basedOn w:val="Fuentedeprrafopredeter"/>
    <w:link w:val="Encabezado"/>
    <w:uiPriority w:val="99"/>
    <w:rsid w:val="00427F45"/>
  </w:style>
  <w:style w:type="paragraph" w:styleId="Piedepgina">
    <w:name w:val="footer"/>
    <w:basedOn w:val="Normal"/>
    <w:link w:val="PiedepginaCar"/>
    <w:uiPriority w:val="99"/>
    <w:unhideWhenUsed w:val="1"/>
    <w:rsid w:val="00427F45"/>
    <w:pPr>
      <w:tabs>
        <w:tab w:val="center" w:pos="4252"/>
        <w:tab w:val="right" w:pos="8504"/>
      </w:tabs>
    </w:pPr>
  </w:style>
  <w:style w:type="character" w:styleId="PiedepginaCar" w:customStyle="1">
    <w:name w:val="Pie de página Car"/>
    <w:basedOn w:val="Fuentedeprrafopredeter"/>
    <w:link w:val="Piedepgina"/>
    <w:uiPriority w:val="99"/>
    <w:rsid w:val="00427F45"/>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9x241xCtWQGZ/Zr7zTlXea9zA==">AMUW2mU6YQays03s/0AIbReZAbd9HcV3DENA2PnJQaFX/57c+7nEC+qQijxsGwkXOJ8mYPPpm/jyDR5M13whreQKapf85anw81hEHB4l6yG0KFJhc6oJU9DZkpi+U32W38uLZGYJrlXZEzropVDHjdWnHtQX1ngzxw==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2022-02-23T16:12:00Z</dcterms:created>
</cp:coreProperties>
</file>